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17FA" w:rsidRPr="003A4B99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4B99">
        <w:rPr>
          <w:rFonts w:ascii="Arial" w:hAnsi="Arial" w:cs="Arial"/>
          <w:b/>
          <w:sz w:val="24"/>
          <w:szCs w:val="24"/>
        </w:rPr>
        <w:t>OBRAZAC ZA ISKAZ INTERESA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B266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266C0" w:rsidRPr="003A4B99">
              <w:rPr>
                <w:rFonts w:ascii="Arial" w:hAnsi="Arial" w:cs="Arial"/>
                <w:b/>
                <w:sz w:val="20"/>
                <w:szCs w:val="20"/>
              </w:rPr>
              <w:t>financijske institucije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392824" w:rsidRPr="003A4B99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:rsidR="00392824" w:rsidRPr="003A4B99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0773" w:rsidRPr="003A4B99" w:rsidRDefault="00E20773" w:rsidP="00E20773">
      <w:pPr>
        <w:spacing w:line="360" w:lineRule="auto"/>
        <w:rPr>
          <w:rFonts w:ascii="Arial" w:hAnsi="Arial" w:cs="Arial"/>
          <w:b/>
        </w:rPr>
      </w:pPr>
    </w:p>
    <w:p w:rsidR="007F5F79" w:rsidRPr="003A4B99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3A4B99" w:rsidSect="007F5F79">
          <w:headerReference w:type="default" r:id="rId8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:rsidR="00801667" w:rsidRPr="003A4B99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tblpY="1"/>
        <w:tblOverlap w:val="never"/>
        <w:tblW w:w="14346" w:type="dxa"/>
        <w:tblLayout w:type="fixed"/>
        <w:tblLook w:val="04A0" w:firstRow="1" w:lastRow="0" w:firstColumn="1" w:lastColumn="0" w:noHBand="0" w:noVBand="1"/>
      </w:tblPr>
      <w:tblGrid>
        <w:gridCol w:w="1295"/>
        <w:gridCol w:w="9089"/>
        <w:gridCol w:w="995"/>
        <w:gridCol w:w="1000"/>
        <w:gridCol w:w="991"/>
        <w:gridCol w:w="976"/>
      </w:tblGrid>
      <w:tr w:rsidR="004C6E41" w:rsidRPr="003A4B99" w:rsidTr="00B266C0">
        <w:trPr>
          <w:trHeight w:val="126"/>
        </w:trPr>
        <w:tc>
          <w:tcPr>
            <w:tcW w:w="10384" w:type="dxa"/>
            <w:gridSpan w:val="2"/>
            <w:vMerge w:val="restart"/>
            <w:vAlign w:val="center"/>
          </w:tcPr>
          <w:p w:rsidR="004C6E41" w:rsidRPr="003A4B99" w:rsidRDefault="004C6E41" w:rsidP="00F571E0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Opć</w:t>
            </w:r>
            <w:r w:rsidR="00F571E0" w:rsidRPr="003A4B99">
              <w:rPr>
                <w:rFonts w:ascii="Arial" w:hAnsi="Arial" w:cs="Arial"/>
                <w:b/>
              </w:rPr>
              <w:t>i</w:t>
            </w:r>
            <w:r w:rsidRPr="003A4B99">
              <w:rPr>
                <w:rFonts w:ascii="Arial" w:hAnsi="Arial" w:cs="Arial"/>
                <w:b/>
              </w:rPr>
              <w:t xml:space="preserve"> provedben</w:t>
            </w:r>
            <w:r w:rsidR="00F571E0" w:rsidRPr="003A4B99">
              <w:rPr>
                <w:rFonts w:ascii="Arial" w:hAnsi="Arial" w:cs="Arial"/>
                <w:b/>
              </w:rPr>
              <w:t xml:space="preserve">i kapaciteti </w:t>
            </w:r>
            <w:r w:rsidRPr="003A4B99">
              <w:rPr>
                <w:rFonts w:ascii="Arial" w:hAnsi="Arial" w:cs="Arial"/>
                <w:b/>
              </w:rPr>
              <w:t>i geografski doseg</w:t>
            </w:r>
          </w:p>
        </w:tc>
        <w:tc>
          <w:tcPr>
            <w:tcW w:w="3962" w:type="dxa"/>
            <w:gridSpan w:val="4"/>
            <w:vAlign w:val="center"/>
          </w:tcPr>
          <w:p w:rsidR="004C6E41" w:rsidRPr="003A4B99" w:rsidRDefault="004C6E41" w:rsidP="00B26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6E41" w:rsidRPr="003A4B99" w:rsidTr="00B266C0">
        <w:trPr>
          <w:trHeight w:val="126"/>
        </w:trPr>
        <w:tc>
          <w:tcPr>
            <w:tcW w:w="10384" w:type="dxa"/>
            <w:gridSpan w:val="2"/>
            <w:vMerge/>
            <w:vAlign w:val="center"/>
          </w:tcPr>
          <w:p w:rsidR="004C6E41" w:rsidRPr="003A4B99" w:rsidRDefault="004C6E41" w:rsidP="00B266C0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62" w:type="dxa"/>
            <w:gridSpan w:val="4"/>
          </w:tcPr>
          <w:p w:rsidR="004C6E41" w:rsidRPr="003A4B99" w:rsidRDefault="004C6E41" w:rsidP="00B26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Godina</w:t>
            </w:r>
          </w:p>
        </w:tc>
      </w:tr>
      <w:tr w:rsidR="007D78B6" w:rsidRPr="003A4B99" w:rsidTr="00B266C0">
        <w:trPr>
          <w:trHeight w:val="395"/>
        </w:trPr>
        <w:tc>
          <w:tcPr>
            <w:tcW w:w="1295" w:type="dxa"/>
            <w:vAlign w:val="center"/>
          </w:tcPr>
          <w:p w:rsidR="003525C1" w:rsidRPr="003A4B99" w:rsidRDefault="001F5794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3525C1" w:rsidRPr="003A4B99">
              <w:rPr>
                <w:rFonts w:ascii="Arial" w:hAnsi="Arial" w:cs="Arial"/>
                <w:b/>
                <w:sz w:val="20"/>
                <w:szCs w:val="20"/>
              </w:rPr>
              <w:t>riteriji</w:t>
            </w:r>
          </w:p>
        </w:tc>
        <w:tc>
          <w:tcPr>
            <w:tcW w:w="9089" w:type="dxa"/>
            <w:vAlign w:val="center"/>
          </w:tcPr>
          <w:p w:rsidR="003525C1" w:rsidRPr="003A4B99" w:rsidRDefault="001F5794" w:rsidP="00B26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Pod-kriteriji</w:t>
            </w:r>
          </w:p>
        </w:tc>
        <w:tc>
          <w:tcPr>
            <w:tcW w:w="995" w:type="dxa"/>
            <w:vAlign w:val="center"/>
          </w:tcPr>
          <w:p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F7CF0" w:rsidRPr="003A4B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F7CF0" w:rsidRPr="003A4B9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F7CF0" w:rsidRPr="003A4B9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6" w:type="dxa"/>
            <w:vAlign w:val="center"/>
          </w:tcPr>
          <w:p w:rsidR="003525C1" w:rsidRPr="003A4B99" w:rsidRDefault="003525C1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Prosjek</w:t>
            </w: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 w:val="restart"/>
            <w:textDirection w:val="btLr"/>
            <w:vAlign w:val="center"/>
          </w:tcPr>
          <w:p w:rsidR="00134312" w:rsidRPr="003A4B99" w:rsidRDefault="00134312" w:rsidP="00B266C0">
            <w:pPr>
              <w:pStyle w:val="ListParagraph"/>
              <w:numPr>
                <w:ilvl w:val="1"/>
                <w:numId w:val="24"/>
              </w:num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Kapacitet za</w:t>
            </w:r>
            <w:r w:rsidR="00663FB7" w:rsidRPr="003A4B99">
              <w:rPr>
                <w:rFonts w:ascii="Arial" w:hAnsi="Arial" w:cs="Arial"/>
                <w:sz w:val="20"/>
                <w:szCs w:val="20"/>
              </w:rPr>
              <w:t xml:space="preserve"> identificiranje krajnjih </w:t>
            </w:r>
            <w:r w:rsidRPr="003A4B99">
              <w:rPr>
                <w:rFonts w:ascii="Arial" w:hAnsi="Arial" w:cs="Arial"/>
                <w:sz w:val="20"/>
                <w:szCs w:val="20"/>
              </w:rPr>
              <w:t>primatelja</w:t>
            </w:r>
          </w:p>
        </w:tc>
        <w:tc>
          <w:tcPr>
            <w:tcW w:w="9089" w:type="dxa"/>
            <w:vAlign w:val="center"/>
          </w:tcPr>
          <w:p w:rsidR="00134312" w:rsidRPr="003A4B99" w:rsidRDefault="004970A2" w:rsidP="00B266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G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odišnji broj jamstvenih zahtjeva koje je banka podnijela HAMAG-BICRO-u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% udio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kredita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odobrenih</w:t>
            </w:r>
            <w:r w:rsidR="00141446" w:rsidRPr="003A4B99">
              <w:rPr>
                <w:rFonts w:ascii="Arial" w:hAnsi="Arial" w:cs="Arial"/>
                <w:sz w:val="20"/>
                <w:szCs w:val="20"/>
              </w:rPr>
              <w:t xml:space="preserve"> nefinancijskim trgovačkim društvima</w:t>
            </w:r>
            <w:r w:rsidR="00183460" w:rsidRPr="003A4B99">
              <w:rPr>
                <w:rFonts w:ascii="Arial" w:hAnsi="Arial" w:cs="Arial"/>
                <w:sz w:val="20"/>
                <w:szCs w:val="20"/>
              </w:rPr>
              <w:t xml:space="preserve"> (F11)</w:t>
            </w:r>
            <w:r w:rsidR="00141446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u ukupnim kreditima.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B266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kredita odobrenih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>nefinancijskim trgovačkim društvima (F11) u statusu mikro, malih i srednjih poduzetnika</w:t>
            </w:r>
            <w:r w:rsidR="00450C46" w:rsidRPr="003A4B9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 xml:space="preserve"> u ukupnim kreditima odobrenim nefinancijskim trgovačkim društvima (F11)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 xml:space="preserve">kredita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 xml:space="preserve">nefinancijskim trgovačkim društvima Početnicima (do 5 g. fin. </w:t>
            </w:r>
            <w:proofErr w:type="spellStart"/>
            <w:r w:rsidR="000E6538" w:rsidRPr="003A4B99">
              <w:rPr>
                <w:rFonts w:ascii="Arial" w:hAnsi="Arial" w:cs="Arial"/>
                <w:sz w:val="20"/>
                <w:szCs w:val="20"/>
              </w:rPr>
              <w:t>izvj</w:t>
            </w:r>
            <w:proofErr w:type="spellEnd"/>
            <w:r w:rsidR="000E6538" w:rsidRPr="003A4B99">
              <w:rPr>
                <w:rFonts w:ascii="Arial" w:hAnsi="Arial" w:cs="Arial"/>
                <w:sz w:val="20"/>
                <w:szCs w:val="20"/>
              </w:rPr>
              <w:t>. u Registru Fine) u ukupnim kreditima odobrenim nefinancijskim trgovačkim društvima (F11)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 w:val="restart"/>
            <w:textDirection w:val="btLr"/>
            <w:vAlign w:val="center"/>
          </w:tcPr>
          <w:p w:rsidR="00134312" w:rsidRPr="003A4B99" w:rsidRDefault="00134312" w:rsidP="00B266C0">
            <w:pPr>
              <w:pStyle w:val="ListParagraph"/>
              <w:numPr>
                <w:ilvl w:val="1"/>
                <w:numId w:val="24"/>
              </w:num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Kapacitet za ocjenjivanje krajnjih primatelja</w:t>
            </w: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nenaplativih kredita (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krediti u rizičnim skupinama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B i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) u ukupnim kreditim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nefinancijskim trgovačkim društvima (F11).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</w:tcPr>
          <w:p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nenaplativih kredita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>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ti u rizičnim skupinama  B i C)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 xml:space="preserve"> u ukupnim kreditima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nefinancijskim trgovačkim društvima (F11) u statusu mikro, malih i srednjih poduzetnika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</w:tcPr>
          <w:p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nenaplativih kredita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>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ti u rizičnim skupinama  B i C)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u ukupnim kreditima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>nefinancijskim trgovačkim društvima</w:t>
            </w:r>
            <w:r w:rsidR="0015079F" w:rsidRPr="003A4B99">
              <w:rPr>
                <w:rFonts w:ascii="Arial" w:hAnsi="Arial" w:cs="Arial"/>
                <w:sz w:val="20"/>
                <w:szCs w:val="20"/>
              </w:rPr>
              <w:t xml:space="preserve"> (F11)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Početnicima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(do 5 g. fin. </w:t>
            </w:r>
            <w:proofErr w:type="spellStart"/>
            <w:r w:rsidR="00134312" w:rsidRPr="003A4B99">
              <w:rPr>
                <w:rFonts w:ascii="Arial" w:hAnsi="Arial" w:cs="Arial"/>
                <w:sz w:val="20"/>
                <w:szCs w:val="20"/>
              </w:rPr>
              <w:t>izvj</w:t>
            </w:r>
            <w:proofErr w:type="spellEnd"/>
            <w:r w:rsidR="00134312" w:rsidRPr="003A4B99">
              <w:rPr>
                <w:rFonts w:ascii="Arial" w:hAnsi="Arial" w:cs="Arial"/>
                <w:sz w:val="20"/>
                <w:szCs w:val="20"/>
              </w:rPr>
              <w:t>. u Registru Fine)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</w:tcPr>
          <w:p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4F018F" w:rsidRPr="003A4B99">
              <w:rPr>
                <w:rFonts w:ascii="Arial" w:hAnsi="Arial" w:cs="Arial"/>
                <w:sz w:val="20"/>
                <w:szCs w:val="20"/>
              </w:rPr>
              <w:t>nenaplativih kredita 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ti u rizičnim skupinama  B i C) odobrenih </w:t>
            </w:r>
            <w:r w:rsidR="004F018F" w:rsidRPr="003A4B99">
              <w:rPr>
                <w:rFonts w:ascii="Arial" w:hAnsi="Arial" w:cs="Arial"/>
                <w:sz w:val="20"/>
                <w:szCs w:val="20"/>
              </w:rPr>
              <w:t>uz jamstvo HAMAG-BICRO-a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C46" w:rsidRPr="003A4B99" w:rsidTr="00B266C0">
        <w:trPr>
          <w:cantSplit/>
          <w:trHeight w:hRule="exact" w:val="794"/>
        </w:trPr>
        <w:tc>
          <w:tcPr>
            <w:tcW w:w="1295" w:type="dxa"/>
          </w:tcPr>
          <w:p w:rsidR="00450C46" w:rsidRPr="003A4B99" w:rsidRDefault="00450C46" w:rsidP="00B266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50C46" w:rsidRPr="003A4B99" w:rsidRDefault="00450C46" w:rsidP="00B266C0">
            <w:pPr>
              <w:pStyle w:val="ListParagraph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Geografski doseg</w:t>
            </w:r>
          </w:p>
        </w:tc>
        <w:tc>
          <w:tcPr>
            <w:tcW w:w="9089" w:type="dxa"/>
            <w:vAlign w:val="center"/>
          </w:tcPr>
          <w:p w:rsidR="00450C46" w:rsidRPr="003A4B99" w:rsidRDefault="00F571E0" w:rsidP="00273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županija u kojima banka ima minimalnu jednu </w:t>
            </w:r>
            <w:r w:rsidR="00273073" w:rsidRPr="003A4B99">
              <w:rPr>
                <w:rFonts w:ascii="Arial" w:hAnsi="Arial" w:cs="Arial"/>
                <w:sz w:val="20"/>
                <w:szCs w:val="20"/>
              </w:rPr>
              <w:t>poslovnicu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u ukupnom broju županija na 31.12.201</w:t>
            </w:r>
            <w:r w:rsidR="000F61B1" w:rsidRPr="003A4B99">
              <w:rPr>
                <w:rFonts w:ascii="Arial" w:hAnsi="Arial" w:cs="Arial"/>
                <w:sz w:val="20"/>
                <w:szCs w:val="20"/>
              </w:rPr>
              <w:t>6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 godine. (zajedno grad Zagreb + Zagrebačka županija)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2" w:type="dxa"/>
            <w:gridSpan w:val="4"/>
            <w:vAlign w:val="center"/>
          </w:tcPr>
          <w:p w:rsidR="00450C46" w:rsidRPr="003A4B99" w:rsidRDefault="00450C46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5F79" w:rsidRPr="003A4B99" w:rsidRDefault="007F5F79" w:rsidP="00392824">
      <w:pPr>
        <w:spacing w:before="120"/>
        <w:rPr>
          <w:rFonts w:ascii="Arial" w:hAnsi="Arial" w:cs="Arial"/>
          <w:sz w:val="20"/>
          <w:szCs w:val="20"/>
        </w:rPr>
        <w:sectPr w:rsidR="007F5F79" w:rsidRPr="003A4B99" w:rsidSect="007F5F79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:rsidR="00450C46" w:rsidRPr="003A4B99" w:rsidRDefault="00450C46" w:rsidP="0039282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36" w:type="dxa"/>
        <w:jc w:val="center"/>
        <w:tblLook w:val="04A0" w:firstRow="1" w:lastRow="0" w:firstColumn="1" w:lastColumn="0" w:noHBand="0" w:noVBand="1"/>
      </w:tblPr>
      <w:tblGrid>
        <w:gridCol w:w="6771"/>
        <w:gridCol w:w="1842"/>
        <w:gridCol w:w="1843"/>
        <w:gridCol w:w="1985"/>
        <w:gridCol w:w="1895"/>
      </w:tblGrid>
      <w:tr w:rsidR="005C1A13" w:rsidRPr="003A4B99" w:rsidTr="004913B4">
        <w:trPr>
          <w:trHeight w:val="198"/>
          <w:jc w:val="center"/>
        </w:trPr>
        <w:tc>
          <w:tcPr>
            <w:tcW w:w="14336" w:type="dxa"/>
            <w:gridSpan w:val="5"/>
          </w:tcPr>
          <w:p w:rsidR="005C1A13" w:rsidRPr="003A4B99" w:rsidRDefault="005C1A13" w:rsidP="005C1A13">
            <w:pPr>
              <w:pStyle w:val="ListParagraph"/>
              <w:numPr>
                <w:ilvl w:val="0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Politika određivanja cijena</w:t>
            </w:r>
          </w:p>
        </w:tc>
      </w:tr>
      <w:tr w:rsidR="004913B4" w:rsidRPr="003A4B99" w:rsidTr="004913B4">
        <w:trPr>
          <w:cantSplit/>
          <w:trHeight w:val="344"/>
          <w:jc w:val="center"/>
        </w:trPr>
        <w:tc>
          <w:tcPr>
            <w:tcW w:w="6771" w:type="dxa"/>
            <w:vMerge w:val="restart"/>
            <w:vAlign w:val="center"/>
          </w:tcPr>
          <w:p w:rsidR="004913B4" w:rsidRPr="003A4B99" w:rsidRDefault="004913B4" w:rsidP="00B266C0">
            <w:pPr>
              <w:pStyle w:val="ListParagraph"/>
              <w:numPr>
                <w:ilvl w:val="1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Nominalna kamatna stopa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nefinancijskim trgovačkim društvima (F11) 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="008F0844" w:rsidRPr="003A4B99">
              <w:rPr>
                <w:rFonts w:ascii="Arial" w:hAnsi="Arial" w:cs="Arial"/>
                <w:sz w:val="20"/>
                <w:szCs w:val="20"/>
              </w:rPr>
              <w:t>prihodujuće</w:t>
            </w:r>
            <w:proofErr w:type="spellEnd"/>
            <w:r w:rsidR="00652180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kredite 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na kraju </w:t>
            </w:r>
            <w:r w:rsidR="00003BC1" w:rsidRPr="003A4B99">
              <w:rPr>
                <w:rFonts w:ascii="Arial" w:hAnsi="Arial" w:cs="Arial"/>
                <w:sz w:val="20"/>
                <w:szCs w:val="20"/>
              </w:rPr>
              <w:t>2016</w:t>
            </w:r>
            <w:r w:rsidRPr="003A4B99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842" w:type="dxa"/>
          </w:tcPr>
          <w:p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Devizni dugoročni</w:t>
            </w:r>
          </w:p>
        </w:tc>
        <w:tc>
          <w:tcPr>
            <w:tcW w:w="1843" w:type="dxa"/>
          </w:tcPr>
          <w:p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Kunski dugoročni</w:t>
            </w:r>
          </w:p>
        </w:tc>
        <w:tc>
          <w:tcPr>
            <w:tcW w:w="1985" w:type="dxa"/>
          </w:tcPr>
          <w:p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Devizni kratkoročni</w:t>
            </w:r>
          </w:p>
        </w:tc>
        <w:tc>
          <w:tcPr>
            <w:tcW w:w="1895" w:type="dxa"/>
          </w:tcPr>
          <w:p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Kunski kratkoročni</w:t>
            </w:r>
          </w:p>
        </w:tc>
      </w:tr>
      <w:tr w:rsidR="004913B4" w:rsidRPr="003A4B99" w:rsidTr="004913B4">
        <w:trPr>
          <w:trHeight w:val="212"/>
          <w:jc w:val="center"/>
        </w:trPr>
        <w:tc>
          <w:tcPr>
            <w:tcW w:w="6771" w:type="dxa"/>
            <w:vMerge/>
          </w:tcPr>
          <w:p w:rsidR="004913B4" w:rsidRPr="003A4B99" w:rsidRDefault="004913B4" w:rsidP="0001290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0A2" w:rsidRPr="003A4B99" w:rsidTr="004913B4">
        <w:trPr>
          <w:trHeight w:val="204"/>
          <w:jc w:val="center"/>
        </w:trPr>
        <w:tc>
          <w:tcPr>
            <w:tcW w:w="14336" w:type="dxa"/>
            <w:gridSpan w:val="5"/>
          </w:tcPr>
          <w:p w:rsidR="004970A2" w:rsidRPr="003A4B99" w:rsidRDefault="005343BD" w:rsidP="00C678F4">
            <w:pPr>
              <w:pStyle w:val="ListParagraph"/>
              <w:numPr>
                <w:ilvl w:val="1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Linearno u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manjenje kamatne stope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od strane financijske institucije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odnosu na stopu jamstva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(u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>predviđene kvadratiće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upisati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umanjenje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 kamatne stope iskazano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u postotnim bodovima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 za stope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 jamstva 50% i 80%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0844" w:rsidRPr="003A4B99" w:rsidRDefault="00F571E0" w:rsidP="004970A2">
      <w:pPr>
        <w:pStyle w:val="ListParagraph"/>
        <w:spacing w:before="120" w:line="360" w:lineRule="auto"/>
        <w:rPr>
          <w:rFonts w:ascii="Arial" w:hAnsi="Arial" w:cs="Arial"/>
        </w:rPr>
      </w:pPr>
      <w:r w:rsidRPr="003A4B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1717675</wp:posOffset>
                </wp:positionV>
                <wp:extent cx="446405" cy="329565"/>
                <wp:effectExtent l="13335" t="10160" r="6985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844" w:rsidRDefault="008F0844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7.15pt;margin-top:135.25pt;width:35.1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">
                <v:textbox>
                  <w:txbxContent>
                    <w:p w:rsidR="008F0844" w:rsidRDefault="008F0844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70DF" w:rsidRPr="003A4B99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-73660</wp:posOffset>
            </wp:positionH>
            <wp:positionV relativeFrom="paragraph">
              <wp:posOffset>27305</wp:posOffset>
            </wp:positionV>
            <wp:extent cx="9067800" cy="280670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3A4B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388620</wp:posOffset>
                </wp:positionV>
                <wp:extent cx="446405" cy="329565"/>
                <wp:effectExtent l="13335" t="5080" r="6985" b="825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844" w:rsidRDefault="008F0844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7.15pt;margin-top:30.6pt;width:35.1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">
                <v:textbox>
                  <w:txbxContent>
                    <w:p w:rsidR="008F0844" w:rsidRDefault="008F0844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5F7EA5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ab/>
      </w:r>
    </w:p>
    <w:p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Ime, prezime i funkcija potpisnika:</w:t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>Potpis i pečat podnositelja zahtjeva:</w:t>
      </w:r>
    </w:p>
    <w:p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</w:p>
    <w:p w:rsidR="008F0844" w:rsidRPr="00C678F4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Mjesto i datum:</w:t>
      </w:r>
      <w:bookmarkStart w:id="0" w:name="_GoBack"/>
      <w:bookmarkEnd w:id="0"/>
    </w:p>
    <w:sectPr w:rsidR="008F0844" w:rsidRPr="00C678F4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44" w:rsidRDefault="008F0844" w:rsidP="005666E5">
      <w:pPr>
        <w:spacing w:after="0" w:line="240" w:lineRule="auto"/>
      </w:pPr>
      <w:r>
        <w:separator/>
      </w:r>
    </w:p>
  </w:endnote>
  <w:endnote w:type="continuationSeparator" w:id="0">
    <w:p w:rsidR="008F0844" w:rsidRDefault="008F0844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44" w:rsidRDefault="008F0844" w:rsidP="005666E5">
      <w:pPr>
        <w:spacing w:after="0" w:line="240" w:lineRule="auto"/>
      </w:pPr>
      <w:r>
        <w:separator/>
      </w:r>
    </w:p>
  </w:footnote>
  <w:footnote w:type="continuationSeparator" w:id="0">
    <w:p w:rsidR="008F0844" w:rsidRDefault="008F0844" w:rsidP="005666E5">
      <w:pPr>
        <w:spacing w:after="0" w:line="240" w:lineRule="auto"/>
      </w:pPr>
      <w:r>
        <w:continuationSeparator/>
      </w:r>
    </w:p>
  </w:footnote>
  <w:footnote w:id="1">
    <w:p w:rsidR="008F0844" w:rsidRPr="00C678F4" w:rsidRDefault="008F0844" w:rsidP="00450C46">
      <w:pPr>
        <w:pStyle w:val="FootnoteText"/>
        <w:rPr>
          <w:rFonts w:ascii="Arial" w:hAnsi="Arial" w:cs="Arial"/>
          <w:sz w:val="18"/>
          <w:szCs w:val="18"/>
        </w:rPr>
      </w:pPr>
      <w:r w:rsidRPr="00C678F4">
        <w:rPr>
          <w:rStyle w:val="FootnoteReference"/>
          <w:rFonts w:ascii="Arial" w:hAnsi="Arial" w:cs="Arial"/>
          <w:sz w:val="18"/>
          <w:szCs w:val="18"/>
        </w:rPr>
        <w:footnoteRef/>
      </w:r>
      <w:r w:rsidRPr="00C678F4">
        <w:rPr>
          <w:rFonts w:ascii="Arial" w:hAnsi="Arial" w:cs="Arial"/>
          <w:sz w:val="18"/>
          <w:szCs w:val="18"/>
        </w:rPr>
        <w:t xml:space="preserve"> Razvrstavanje poduzetnika na mikro, male, srednje i velike na temelju Zakona o računovodstvu (NN broj 78/15, 134/15)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44" w:rsidRDefault="008F0844">
    <w:pPr>
      <w:pStyle w:val="Header"/>
    </w:pPr>
  </w:p>
  <w:p w:rsidR="008F0844" w:rsidRDefault="008F0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9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5"/>
  </w:num>
  <w:num w:numId="14">
    <w:abstractNumId w:val="23"/>
  </w:num>
  <w:num w:numId="15">
    <w:abstractNumId w:val="17"/>
  </w:num>
  <w:num w:numId="16">
    <w:abstractNumId w:val="23"/>
  </w:num>
  <w:num w:numId="17">
    <w:abstractNumId w:val="6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  <w:num w:numId="22">
    <w:abstractNumId w:val="16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FE"/>
    <w:rsid w:val="000005C7"/>
    <w:rsid w:val="00003BC1"/>
    <w:rsid w:val="00012903"/>
    <w:rsid w:val="000264B3"/>
    <w:rsid w:val="00033282"/>
    <w:rsid w:val="00040461"/>
    <w:rsid w:val="00040E8D"/>
    <w:rsid w:val="00056216"/>
    <w:rsid w:val="00064461"/>
    <w:rsid w:val="00067BF1"/>
    <w:rsid w:val="00073EA1"/>
    <w:rsid w:val="00074171"/>
    <w:rsid w:val="00077D72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0F61B1"/>
    <w:rsid w:val="000F7CF0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5079F"/>
    <w:rsid w:val="0016164B"/>
    <w:rsid w:val="00161B57"/>
    <w:rsid w:val="001724F3"/>
    <w:rsid w:val="00183460"/>
    <w:rsid w:val="001D0779"/>
    <w:rsid w:val="001D77D6"/>
    <w:rsid w:val="001F512E"/>
    <w:rsid w:val="001F5794"/>
    <w:rsid w:val="001F5A4E"/>
    <w:rsid w:val="002025CC"/>
    <w:rsid w:val="00212EC9"/>
    <w:rsid w:val="00221764"/>
    <w:rsid w:val="00227168"/>
    <w:rsid w:val="002439E8"/>
    <w:rsid w:val="0025494F"/>
    <w:rsid w:val="00264AD7"/>
    <w:rsid w:val="00273073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A4B99"/>
    <w:rsid w:val="003B266F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1E94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3FB7"/>
    <w:rsid w:val="0066483D"/>
    <w:rsid w:val="006A7130"/>
    <w:rsid w:val="006A726A"/>
    <w:rsid w:val="006E0EF2"/>
    <w:rsid w:val="00711444"/>
    <w:rsid w:val="00721B08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5CC8"/>
    <w:rsid w:val="007D59CF"/>
    <w:rsid w:val="007D78B6"/>
    <w:rsid w:val="007E12D4"/>
    <w:rsid w:val="007F5F79"/>
    <w:rsid w:val="007F72EE"/>
    <w:rsid w:val="007F786A"/>
    <w:rsid w:val="00801667"/>
    <w:rsid w:val="00811C5C"/>
    <w:rsid w:val="00823C1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C0D58"/>
    <w:rsid w:val="008C2F77"/>
    <w:rsid w:val="008E1447"/>
    <w:rsid w:val="008F0844"/>
    <w:rsid w:val="00906555"/>
    <w:rsid w:val="00926484"/>
    <w:rsid w:val="00942969"/>
    <w:rsid w:val="009554BE"/>
    <w:rsid w:val="0098127A"/>
    <w:rsid w:val="00982AD4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22324"/>
    <w:rsid w:val="00A404C5"/>
    <w:rsid w:val="00A40728"/>
    <w:rsid w:val="00A67EC2"/>
    <w:rsid w:val="00A702AB"/>
    <w:rsid w:val="00A93609"/>
    <w:rsid w:val="00A9590E"/>
    <w:rsid w:val="00AB7D36"/>
    <w:rsid w:val="00AC5CA0"/>
    <w:rsid w:val="00AD4EA7"/>
    <w:rsid w:val="00AF692B"/>
    <w:rsid w:val="00B01262"/>
    <w:rsid w:val="00B2121F"/>
    <w:rsid w:val="00B2227F"/>
    <w:rsid w:val="00B266C0"/>
    <w:rsid w:val="00B467CE"/>
    <w:rsid w:val="00B46DFC"/>
    <w:rsid w:val="00B47506"/>
    <w:rsid w:val="00B500AB"/>
    <w:rsid w:val="00B5173F"/>
    <w:rsid w:val="00B51B83"/>
    <w:rsid w:val="00B91AF4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41286"/>
    <w:rsid w:val="00C42526"/>
    <w:rsid w:val="00C45968"/>
    <w:rsid w:val="00C510D0"/>
    <w:rsid w:val="00C678F4"/>
    <w:rsid w:val="00C8278A"/>
    <w:rsid w:val="00C878A5"/>
    <w:rsid w:val="00CA08A2"/>
    <w:rsid w:val="00CC0BF5"/>
    <w:rsid w:val="00D04C5A"/>
    <w:rsid w:val="00D32B6B"/>
    <w:rsid w:val="00D37CD3"/>
    <w:rsid w:val="00D5015C"/>
    <w:rsid w:val="00D52760"/>
    <w:rsid w:val="00D543EE"/>
    <w:rsid w:val="00D57BD7"/>
    <w:rsid w:val="00D66059"/>
    <w:rsid w:val="00D75C40"/>
    <w:rsid w:val="00D7798E"/>
    <w:rsid w:val="00D779F1"/>
    <w:rsid w:val="00D9195F"/>
    <w:rsid w:val="00D9411D"/>
    <w:rsid w:val="00D96B86"/>
    <w:rsid w:val="00DA0A5F"/>
    <w:rsid w:val="00DB0ED6"/>
    <w:rsid w:val="00DC6CF8"/>
    <w:rsid w:val="00DD4797"/>
    <w:rsid w:val="00DD4D41"/>
    <w:rsid w:val="00DE17C2"/>
    <w:rsid w:val="00DE1B83"/>
    <w:rsid w:val="00DE79EC"/>
    <w:rsid w:val="00E107C3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F45C41"/>
    <w:rsid w:val="00F46BA4"/>
    <w:rsid w:val="00F46C01"/>
    <w:rsid w:val="00F51F05"/>
    <w:rsid w:val="00F571E0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E423B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45E1EF2-6329-43AB-8D05-5AF97A94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AMAG-BICRO\Financijski%20instrumenti\Jamstva\Analiza%20alokacije%20(jamstva%20subv%20kama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02502062908212"/>
          <c:y val="4.1666666666666692E-2"/>
          <c:w val="0.82399948951762914"/>
          <c:h val="0.77716666666666667"/>
        </c:manualLayout>
      </c:layout>
      <c:scatterChart>
        <c:scatterStyle val="lineMarker"/>
        <c:varyColors val="0"/>
        <c:ser>
          <c:idx val="0"/>
          <c:order val="0"/>
          <c:tx>
            <c:strRef>
              <c:f>'model subvencije'!$A$1</c:f>
              <c:strCache>
                <c:ptCount val="1"/>
                <c:pt idx="0">
                  <c:v>Odnos stope jamstva i umanjenja kamatne stope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'model subvencije'!$A$3:$A$6</c:f>
              <c:numCache>
                <c:formatCode>0%</c:formatCode>
                <c:ptCount val="4"/>
                <c:pt idx="0">
                  <c:v>0.5</c:v>
                </c:pt>
                <c:pt idx="1">
                  <c:v>0.60000000000000064</c:v>
                </c:pt>
                <c:pt idx="2">
                  <c:v>0.70000000000000062</c:v>
                </c:pt>
                <c:pt idx="3">
                  <c:v>0.8</c:v>
                </c:pt>
              </c:numCache>
            </c:numRef>
          </c:xVal>
          <c:yVal>
            <c:numRef>
              <c:f>'model subvencije'!$B$3:$B$6</c:f>
              <c:numCache>
                <c:formatCode>0.00%</c:formatCode>
                <c:ptCount val="4"/>
                <c:pt idx="0">
                  <c:v>2.5000000000000027E-3</c:v>
                </c:pt>
                <c:pt idx="1">
                  <c:v>5.0000000000000053E-3</c:v>
                </c:pt>
                <c:pt idx="2">
                  <c:v>7.5000000000000093E-3</c:v>
                </c:pt>
                <c:pt idx="3" formatCode="0%">
                  <c:v>1.0000000000000011E-2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1F-4266-B46C-DEE0AE577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537344"/>
        <c:axId val="305537736"/>
      </c:scatterChart>
      <c:valAx>
        <c:axId val="305537344"/>
        <c:scaling>
          <c:orientation val="minMax"/>
          <c:max val="0.8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Stopa jamstva</a:t>
                </a:r>
              </a:p>
            </c:rich>
          </c:tx>
          <c:layout>
            <c:manualLayout>
              <c:xMode val="edge"/>
              <c:yMode val="edge"/>
              <c:x val="0.47564381658175081"/>
              <c:y val="0.8956660847258344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r-Latn-RS"/>
          </a:p>
        </c:txPr>
        <c:crossAx val="305537736"/>
        <c:crosses val="autoZero"/>
        <c:crossBetween val="midCat"/>
        <c:majorUnit val="0.1"/>
      </c:valAx>
      <c:valAx>
        <c:axId val="305537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Umanjenje kamatne stope </a:t>
                </a:r>
              </a:p>
            </c:rich>
          </c:tx>
          <c:layout>
            <c:manualLayout>
              <c:xMode val="edge"/>
              <c:yMode val="edge"/>
              <c:x val="6.3479565054368192E-3"/>
              <c:y val="0.2209990380161755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%" sourceLinked="1"/>
        <c:majorTickMark val="out"/>
        <c:minorTickMark val="none"/>
        <c:tickLblPos val="nextTo"/>
        <c:crossAx val="305537344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 algn="just">
        <a:defRPr>
          <a:latin typeface="Arial" panose="020B0604020202020204" pitchFamily="34" charset="0"/>
          <a:cs typeface="Arial" panose="020B0604020202020204" pitchFamily="34" charset="0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5CD9-780B-4483-B29D-127C9C66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Iva Milašinčić</cp:lastModifiedBy>
  <cp:revision>7</cp:revision>
  <cp:lastPrinted>2016-08-17T07:54:00Z</cp:lastPrinted>
  <dcterms:created xsi:type="dcterms:W3CDTF">2016-08-17T11:58:00Z</dcterms:created>
  <dcterms:modified xsi:type="dcterms:W3CDTF">2017-07-20T13:53:00Z</dcterms:modified>
</cp:coreProperties>
</file>